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03F0" w14:textId="77777777" w:rsidR="00402B35" w:rsidRPr="0006653B" w:rsidRDefault="00402B35" w:rsidP="00402B35">
      <w:pPr>
        <w:jc w:val="center"/>
        <w:rPr>
          <w:rFonts w:ascii="Arial" w:hAnsi="Arial" w:cs="Arial"/>
          <w:b/>
          <w:sz w:val="32"/>
          <w:szCs w:val="32"/>
          <w:lang w:bidi="en-US"/>
        </w:rPr>
      </w:pPr>
      <w:r w:rsidRPr="0006653B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7E9C285" wp14:editId="2DD82D1A">
            <wp:extent cx="723900" cy="800100"/>
            <wp:effectExtent l="0" t="0" r="0" b="0"/>
            <wp:docPr id="1" name="Imagem 1" descr="Brazão do Clube Mil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zão do Clube Mili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D6CA" w14:textId="77777777" w:rsidR="00402B35" w:rsidRPr="00402B35" w:rsidRDefault="00402B35" w:rsidP="00402B35">
      <w:pPr>
        <w:jc w:val="center"/>
        <w:rPr>
          <w:rFonts w:ascii="Arial" w:hAnsi="Arial" w:cs="Arial"/>
          <w:b/>
          <w:sz w:val="28"/>
          <w:szCs w:val="28"/>
        </w:rPr>
      </w:pPr>
      <w:r w:rsidRPr="00402B35">
        <w:rPr>
          <w:rFonts w:ascii="Arial" w:hAnsi="Arial" w:cs="Arial"/>
          <w:b/>
          <w:sz w:val="28"/>
          <w:szCs w:val="28"/>
        </w:rPr>
        <w:t>Clube Militar – Departamento Cultural</w:t>
      </w:r>
    </w:p>
    <w:p w14:paraId="2F0903F6" w14:textId="77777777" w:rsidR="00402B35" w:rsidRPr="00402B35" w:rsidRDefault="00402B35" w:rsidP="00402B35">
      <w:pPr>
        <w:jc w:val="center"/>
        <w:rPr>
          <w:rFonts w:ascii="Arial" w:hAnsi="Arial" w:cs="Arial"/>
          <w:b/>
          <w:sz w:val="28"/>
          <w:szCs w:val="28"/>
        </w:rPr>
      </w:pPr>
      <w:r w:rsidRPr="00402B35">
        <w:rPr>
          <w:rFonts w:ascii="Arial" w:hAnsi="Arial" w:cs="Arial"/>
          <w:b/>
          <w:sz w:val="28"/>
          <w:szCs w:val="28"/>
        </w:rPr>
        <w:t xml:space="preserve">SEMINÁRIO DE REVISÃO, ATUALIZAÇÃO E PREPARAÇÃO PARA O CONCURSO À </w:t>
      </w:r>
      <w:proofErr w:type="gramStart"/>
      <w:r w:rsidRPr="00402B35">
        <w:rPr>
          <w:rFonts w:ascii="Arial" w:hAnsi="Arial" w:cs="Arial"/>
          <w:b/>
          <w:sz w:val="28"/>
          <w:szCs w:val="28"/>
        </w:rPr>
        <w:t>ECEME  -</w:t>
      </w:r>
      <w:proofErr w:type="gramEnd"/>
      <w:r w:rsidRPr="00402B35">
        <w:rPr>
          <w:rFonts w:ascii="Arial" w:hAnsi="Arial" w:cs="Arial"/>
          <w:b/>
          <w:sz w:val="28"/>
          <w:szCs w:val="28"/>
        </w:rPr>
        <w:t xml:space="preserve"> SERAPREP 2024</w:t>
      </w:r>
    </w:p>
    <w:p w14:paraId="3F9540E0" w14:textId="77777777" w:rsidR="00F818B9" w:rsidRPr="00402B35" w:rsidRDefault="00F818B9" w:rsidP="00402B35">
      <w:pPr>
        <w:pStyle w:val="SemEspaamento"/>
        <w:jc w:val="center"/>
        <w:rPr>
          <w:b/>
          <w:bCs/>
          <w:sz w:val="28"/>
          <w:szCs w:val="28"/>
        </w:rPr>
      </w:pPr>
    </w:p>
    <w:p w14:paraId="7022EBFF" w14:textId="77777777" w:rsidR="00402B35" w:rsidRDefault="00DB6746" w:rsidP="00402B35">
      <w:pPr>
        <w:pStyle w:val="SemEspaamento"/>
        <w:jc w:val="center"/>
        <w:rPr>
          <w:sz w:val="28"/>
          <w:szCs w:val="28"/>
        </w:rPr>
      </w:pPr>
      <w:proofErr w:type="gramStart"/>
      <w:r w:rsidRPr="00402B35">
        <w:rPr>
          <w:sz w:val="28"/>
          <w:szCs w:val="28"/>
        </w:rPr>
        <w:t>ECEME</w:t>
      </w:r>
      <w:r w:rsidR="00F818B9" w:rsidRPr="00402B35">
        <w:rPr>
          <w:sz w:val="28"/>
          <w:szCs w:val="28"/>
        </w:rPr>
        <w:t xml:space="preserve">  -</w:t>
      </w:r>
      <w:proofErr w:type="gramEnd"/>
      <w:r w:rsidR="00F818B9" w:rsidRPr="00402B35">
        <w:rPr>
          <w:sz w:val="28"/>
          <w:szCs w:val="28"/>
        </w:rPr>
        <w:t xml:space="preserve">  </w:t>
      </w:r>
      <w:r w:rsidRPr="00402B35">
        <w:rPr>
          <w:sz w:val="28"/>
          <w:szCs w:val="28"/>
        </w:rPr>
        <w:t>PEP – 2024</w:t>
      </w:r>
      <w:r w:rsidR="00543320" w:rsidRPr="00402B35">
        <w:rPr>
          <w:sz w:val="28"/>
          <w:szCs w:val="28"/>
        </w:rPr>
        <w:t xml:space="preserve"> </w:t>
      </w:r>
      <w:r w:rsidRPr="00402B35">
        <w:rPr>
          <w:sz w:val="28"/>
          <w:szCs w:val="28"/>
        </w:rPr>
        <w:t xml:space="preserve"> </w:t>
      </w:r>
      <w:r w:rsidR="00F818B9" w:rsidRPr="00402B35">
        <w:rPr>
          <w:sz w:val="28"/>
          <w:szCs w:val="28"/>
        </w:rPr>
        <w:t xml:space="preserve">- </w:t>
      </w:r>
      <w:r w:rsidR="00543320" w:rsidRPr="00402B35">
        <w:rPr>
          <w:sz w:val="28"/>
          <w:szCs w:val="28"/>
        </w:rPr>
        <w:t>3</w:t>
      </w:r>
      <w:r w:rsidRPr="00402B35">
        <w:rPr>
          <w:sz w:val="28"/>
          <w:szCs w:val="28"/>
        </w:rPr>
        <w:t>ª AVALIAÇÃO DE TREINAMENT</w:t>
      </w:r>
      <w:r w:rsidR="00F818B9" w:rsidRPr="00402B35">
        <w:rPr>
          <w:sz w:val="28"/>
          <w:szCs w:val="28"/>
        </w:rPr>
        <w:t>O</w:t>
      </w:r>
      <w:r w:rsidR="00402B35">
        <w:rPr>
          <w:sz w:val="28"/>
          <w:szCs w:val="28"/>
        </w:rPr>
        <w:t xml:space="preserve"> -  </w:t>
      </w:r>
      <w:r w:rsidRPr="00402B35">
        <w:rPr>
          <w:sz w:val="28"/>
          <w:szCs w:val="28"/>
        </w:rPr>
        <w:t>GEOGRAFIA</w:t>
      </w:r>
      <w:r w:rsidR="00402B35" w:rsidRPr="00402B35">
        <w:rPr>
          <w:sz w:val="28"/>
          <w:szCs w:val="28"/>
        </w:rPr>
        <w:t xml:space="preserve"> </w:t>
      </w:r>
    </w:p>
    <w:p w14:paraId="04CA2611" w14:textId="7EA037D9" w:rsidR="00DB6746" w:rsidRPr="00402B35" w:rsidRDefault="00402B35" w:rsidP="00402B35">
      <w:pPr>
        <w:pStyle w:val="SemEspaamento"/>
        <w:jc w:val="center"/>
        <w:rPr>
          <w:color w:val="FF0000"/>
          <w:sz w:val="28"/>
          <w:szCs w:val="28"/>
        </w:rPr>
      </w:pPr>
      <w:r w:rsidRPr="00402B35">
        <w:rPr>
          <w:color w:val="FF0000"/>
          <w:sz w:val="28"/>
          <w:szCs w:val="28"/>
        </w:rPr>
        <w:tab/>
      </w:r>
    </w:p>
    <w:p w14:paraId="0F8FFD2B" w14:textId="5AA90203" w:rsidR="00DB6746" w:rsidRPr="00402B35" w:rsidRDefault="00DB6746" w:rsidP="00402B35">
      <w:pPr>
        <w:pStyle w:val="SemEspaamento"/>
        <w:jc w:val="center"/>
        <w:rPr>
          <w:sz w:val="28"/>
          <w:szCs w:val="28"/>
        </w:rPr>
      </w:pPr>
      <w:r w:rsidRPr="00402B35">
        <w:rPr>
          <w:sz w:val="28"/>
          <w:szCs w:val="28"/>
        </w:rPr>
        <w:t>1 a QUESTÃO (Valor 6,0)</w:t>
      </w:r>
    </w:p>
    <w:p w14:paraId="6014351C" w14:textId="638B83AB" w:rsidR="00DB6746" w:rsidRDefault="00DB6746" w:rsidP="00DB674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B6746">
        <w:rPr>
          <w:rFonts w:ascii="Arial" w:hAnsi="Arial" w:cs="Arial"/>
          <w:sz w:val="28"/>
          <w:szCs w:val="28"/>
          <w:highlight w:val="yellow"/>
        </w:rPr>
        <w:t>Analisar</w:t>
      </w:r>
      <w:r w:rsidRPr="00DB6746">
        <w:rPr>
          <w:rFonts w:ascii="Arial" w:hAnsi="Arial" w:cs="Arial"/>
          <w:sz w:val="28"/>
          <w:szCs w:val="28"/>
        </w:rPr>
        <w:t xml:space="preserve"> </w:t>
      </w:r>
      <w:r w:rsidRPr="00DB6746">
        <w:rPr>
          <w:rFonts w:ascii="Arial" w:hAnsi="Arial" w:cs="Arial"/>
          <w:sz w:val="28"/>
          <w:szCs w:val="28"/>
          <w:highlight w:val="green"/>
        </w:rPr>
        <w:t>os principais desafios do Estado-Nação frente à ordem mundial vigente,</w:t>
      </w:r>
      <w:r w:rsidRPr="00DB6746">
        <w:rPr>
          <w:rFonts w:ascii="Arial" w:hAnsi="Arial" w:cs="Arial"/>
          <w:sz w:val="28"/>
          <w:szCs w:val="28"/>
        </w:rPr>
        <w:t xml:space="preserve"> </w:t>
      </w:r>
      <w:r w:rsidRPr="00DB6746">
        <w:rPr>
          <w:rFonts w:ascii="Arial" w:hAnsi="Arial" w:cs="Arial"/>
          <w:sz w:val="28"/>
          <w:szCs w:val="28"/>
          <w:highlight w:val="cyan"/>
        </w:rPr>
        <w:t xml:space="preserve">nas expressões político-militar e econômica, </w:t>
      </w:r>
      <w:r w:rsidRPr="008E5112">
        <w:rPr>
          <w:rFonts w:ascii="Arial" w:hAnsi="Arial" w:cs="Arial"/>
          <w:sz w:val="28"/>
          <w:szCs w:val="28"/>
          <w:highlight w:val="magenta"/>
        </w:rPr>
        <w:t xml:space="preserve">destacando </w:t>
      </w:r>
      <w:r w:rsidRPr="00DB6746">
        <w:rPr>
          <w:rFonts w:ascii="Arial" w:hAnsi="Arial" w:cs="Arial"/>
          <w:sz w:val="28"/>
          <w:szCs w:val="28"/>
          <w:highlight w:val="cyan"/>
        </w:rPr>
        <w:t xml:space="preserve">a influência dos </w:t>
      </w:r>
      <w:r w:rsidRPr="008E5112">
        <w:rPr>
          <w:rFonts w:ascii="Arial" w:hAnsi="Arial" w:cs="Arial"/>
          <w:sz w:val="28"/>
          <w:szCs w:val="28"/>
          <w:highlight w:val="lightGray"/>
        </w:rPr>
        <w:t>novos</w:t>
      </w:r>
      <w:r w:rsidRPr="00DB6746">
        <w:rPr>
          <w:rFonts w:ascii="Arial" w:hAnsi="Arial" w:cs="Arial"/>
          <w:sz w:val="28"/>
          <w:szCs w:val="28"/>
          <w:highlight w:val="cyan"/>
        </w:rPr>
        <w:t xml:space="preserve"> polos de poder global</w:t>
      </w:r>
      <w:r w:rsidRPr="00DB6746">
        <w:rPr>
          <w:rFonts w:ascii="Arial" w:hAnsi="Arial" w:cs="Arial"/>
          <w:sz w:val="28"/>
          <w:szCs w:val="28"/>
        </w:rPr>
        <w:t xml:space="preserve"> e </w:t>
      </w:r>
      <w:r w:rsidRPr="00DB6746">
        <w:rPr>
          <w:rFonts w:ascii="Arial" w:hAnsi="Arial" w:cs="Arial"/>
          <w:sz w:val="28"/>
          <w:szCs w:val="28"/>
          <w:highlight w:val="yellow"/>
        </w:rPr>
        <w:t xml:space="preserve">concluindo sobre os </w:t>
      </w:r>
      <w:r w:rsidRPr="008E5112">
        <w:rPr>
          <w:rFonts w:ascii="Arial" w:hAnsi="Arial" w:cs="Arial"/>
          <w:sz w:val="28"/>
          <w:szCs w:val="28"/>
          <w:highlight w:val="lightGray"/>
        </w:rPr>
        <w:t>atuais</w:t>
      </w:r>
      <w:r w:rsidRPr="00DB6746">
        <w:rPr>
          <w:rFonts w:ascii="Arial" w:hAnsi="Arial" w:cs="Arial"/>
          <w:sz w:val="28"/>
          <w:szCs w:val="28"/>
          <w:highlight w:val="yellow"/>
        </w:rPr>
        <w:t xml:space="preserve"> focos de instabilidade geopolítica entre Estados</w:t>
      </w:r>
      <w:r w:rsidRPr="00DB6746">
        <w:rPr>
          <w:rFonts w:ascii="Arial" w:hAnsi="Arial" w:cs="Arial"/>
          <w:sz w:val="28"/>
          <w:szCs w:val="28"/>
        </w:rPr>
        <w:t xml:space="preserve"> </w:t>
      </w:r>
      <w:r w:rsidRPr="008E5112">
        <w:rPr>
          <w:rFonts w:ascii="Arial" w:hAnsi="Arial" w:cs="Arial"/>
          <w:sz w:val="28"/>
          <w:szCs w:val="28"/>
          <w:highlight w:val="lightGray"/>
        </w:rPr>
        <w:t>relacionados</w:t>
      </w:r>
      <w:r w:rsidRPr="00DB6746">
        <w:rPr>
          <w:rFonts w:ascii="Arial" w:hAnsi="Arial" w:cs="Arial"/>
          <w:sz w:val="28"/>
          <w:szCs w:val="28"/>
          <w:highlight w:val="cyan"/>
        </w:rPr>
        <w:t xml:space="preserve"> à teoria geopolítica do Choque das Civilizações, de Samuel P. Huntington.</w:t>
      </w:r>
      <w:r w:rsidRPr="00DB6746">
        <w:rPr>
          <w:rFonts w:ascii="Arial" w:hAnsi="Arial" w:cs="Arial"/>
          <w:sz w:val="28"/>
          <w:szCs w:val="28"/>
        </w:rPr>
        <w:t xml:space="preserve"> </w:t>
      </w:r>
    </w:p>
    <w:p w14:paraId="7A4714B4" w14:textId="13F23893" w:rsidR="00402B35" w:rsidRDefault="00402B35" w:rsidP="00402B35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402B35">
        <w:rPr>
          <w:color w:val="FF0000"/>
          <w:sz w:val="28"/>
          <w:szCs w:val="28"/>
        </w:rPr>
        <w:t>[UMA SOLUÇÃO]</w:t>
      </w:r>
    </w:p>
    <w:p w14:paraId="4FC8F9DB" w14:textId="33A45C31" w:rsidR="00DB6746" w:rsidRPr="00537EB9" w:rsidRDefault="00402B35" w:rsidP="00DB6746">
      <w:pPr>
        <w:jc w:val="both"/>
        <w:rPr>
          <w:rFonts w:ascii="Lucida Handwriting" w:hAnsi="Lucida Handwriting" w:cs="Arial"/>
          <w:color w:val="4472C4" w:themeColor="accent1"/>
          <w:sz w:val="28"/>
          <w:szCs w:val="28"/>
        </w:rPr>
      </w:pPr>
      <w:r w:rsidRPr="00402B35">
        <w:rPr>
          <w:rFonts w:ascii="Comic Sans MS" w:hAnsi="Comic Sans MS" w:cs="Arial"/>
          <w:color w:val="4472C4" w:themeColor="accent1"/>
          <w:sz w:val="28"/>
          <w:szCs w:val="28"/>
        </w:rPr>
        <w:tab/>
      </w:r>
      <w:r w:rsidRPr="00537EB9">
        <w:rPr>
          <w:rFonts w:ascii="Lucida Handwriting" w:hAnsi="Lucida Handwriting" w:cs="Arial"/>
          <w:color w:val="4472C4" w:themeColor="accent1"/>
          <w:sz w:val="28"/>
          <w:szCs w:val="28"/>
        </w:rPr>
        <w:t>Introdução</w:t>
      </w:r>
    </w:p>
    <w:p w14:paraId="5A104D34" w14:textId="77777777" w:rsidR="00402B35" w:rsidRPr="00537EB9" w:rsidRDefault="00402B35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O Estado-nação encontra-se atualmente diante do desafio de se manter, moldar, adaptar e resistir diante de várias forças globais e abrangentes que atuam, simultaneamente, sobre ele.</w:t>
      </w:r>
    </w:p>
    <w:p w14:paraId="130776C0" w14:textId="77777777" w:rsidR="00402B35" w:rsidRPr="00537EB9" w:rsidRDefault="00402B35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ordem mundial vigente é a nova estrutura da geopolítica e da economia global a partir da década de 1990, que emergiu com o fim da União Soviética, marcada pela emergência de múltiplos centros de poder, como por exemplo, a China, a Índia, o Japão e alguns países da União Europeia. </w:t>
      </w:r>
    </w:p>
    <w:p w14:paraId="0CCBB766" w14:textId="77777777" w:rsidR="00402B35" w:rsidRPr="00537EB9" w:rsidRDefault="00402B35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Essa nova ordem se caracteriza pela multipolaridade, pela consolidação do capitalismo como sistema econômico dominante e pela intensificação dos fluxos de informações, capitais e mercadorias, que são típicos da globalização. </w:t>
      </w:r>
    </w:p>
    <w:p w14:paraId="167F510E" w14:textId="09D9CB45" w:rsidR="00402B35" w:rsidRPr="00537EB9" w:rsidRDefault="00402B35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Teoria Geopolítica do Choque das Civilizações, de autoria do professor americano Samuel Phillips Huntington,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>indica que os principais atores políticos do século XXI seriam as civilizações e não os Estados-nacionais; e os principais focos de instabilidades após a Guerra Fria não seriam as tensões ideológicas, mas as culturais.</w:t>
      </w:r>
    </w:p>
    <w:p w14:paraId="76DBCBC2" w14:textId="77777777" w:rsidR="00402B35" w:rsidRPr="00537EB9" w:rsidRDefault="00402B35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seguir, serão analisados os principais desafios do Estado-Nação frente à ordem mundial vigente, nas expressões político-militar e econômica, destacando a influência dos novos polos de poder global e concluindo sobre os atuais focos de instabilidade geopolítica entre Estados relacionados à teoria geopolítica do Choque das Civilizações, de Samuel P. Huntington. </w:t>
      </w:r>
    </w:p>
    <w:p w14:paraId="2EB97030" w14:textId="77777777" w:rsidR="00402B35" w:rsidRPr="00537EB9" w:rsidRDefault="00402B35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DESENVOLVIMENTO </w:t>
      </w:r>
    </w:p>
    <w:p w14:paraId="244655E7" w14:textId="395A402E" w:rsidR="00402B35" w:rsidRPr="00537EB9" w:rsidRDefault="00402B35" w:rsidP="00402B35">
      <w:pPr>
        <w:pStyle w:val="PargrafodaLista"/>
        <w:numPr>
          <w:ilvl w:val="0"/>
          <w:numId w:val="1"/>
        </w:numPr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Expressão político-militar </w:t>
      </w:r>
    </w:p>
    <w:p w14:paraId="4227AA90" w14:textId="77777777" w:rsidR="00402B35" w:rsidRPr="00537EB9" w:rsidRDefault="00402B35" w:rsidP="00402B35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O agravamento das questões climáticas está no debate central do desenvolvimento humano. Esse fenômeno impõe ações que aliam discussões políticas, sustentabilidade ambiental e justiça social. Algumas agendas internacionais, como a Convenção-Quadro das Nações Unidas sobre Mudança Global do Clima, o Protocolo de Quioto e o Acordo de Paris estabelecem metas e compromissos, todavia a divergência de interesses, em razão das culturas das distintas civilizações, por vezes, atrapalha o processo. Nesse contexto, surge com grande importância o posicionamento dos dois maiores lançadores de gases de efeito estufa, a China e os Estados Unidos da América (EUA)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.</w:t>
      </w:r>
    </w:p>
    <w:p w14:paraId="2095309A" w14:textId="26655105" w:rsidR="00402B35" w:rsidRPr="00537EB9" w:rsidRDefault="00402B35" w:rsidP="00402B35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busca pelo protagonismo político e militar impõe uma competição constante aos grandes atores internacionais. Assim, a ordem mundial vigente traz uma multipolaridade de forças. A Federação Russa, que exerce grande influência no leste europeu, Oriente Médio e Ásia, perdeu a relativa harmonia com o ocidente e com a Organização do Tratado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do Atlântico Norte (OTAN), após a invasão na Ucrânia. A China, que pratica uma agressiva política expansionista, tenta afirmar sua soberania em questões territoriais ainda não resolvidas, como Taiwan. Os EUA, que investem bilhões de dólares em seu arsenal, opõem-se às pretensões russas e chinesas e enfrentam a ameaça da proliferação nuclear da Índia, Paquistão, Israel e Coreia do Norte. </w:t>
      </w:r>
    </w:p>
    <w:p w14:paraId="7DE5271F" w14:textId="77777777" w:rsidR="00402B35" w:rsidRPr="00537EB9" w:rsidRDefault="00402B35" w:rsidP="00402B35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O incremento de tecnologias disruptivas aplicadas no campo militar tem levado os Estados a aprofundarem a pesquisa e aumentarem os investimentos na área. A busca pela inovação e quebra de paradigmas, mediante soluções tecnológicas, está levando o combate para uma nova dimensão, com maior custo-benefício e desempenho e performance superiores. Assim, novas armas, como navios e aeronaves, estão sendo adaptadas a fontes de energia com maior autonomia; os sistemas remotamente controlados estão ganhando projeção; e a utilização de plataformas militares baseadas em inteligência artificial está crescendo de importância. </w:t>
      </w:r>
    </w:p>
    <w:p w14:paraId="4C07C18E" w14:textId="77777777" w:rsidR="00402B35" w:rsidRPr="00537EB9" w:rsidRDefault="00402B35" w:rsidP="00402B35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intensificação do uso do espaço por grandes e médias potências é um fenômeno cada vez mais proeminente nas últimas décadas. Essa nova dimensão da evolução da humanidade ocorre devido aos avanços tecnológicos e aos interesses estratégicos políticos e militares. Nota-se, cada vez mais, o uso de satélites com os mais distintos objetivos, gerando uma competição mundial nas mais distintas civilizações. Atualmente, estima-se que existem quase onze mil satélites ao redor da Terra, todavia nem todo Estado-nação possui tecnologia própria para colocá-los em órbita, cabendo ressaltar que essa capacidade fica restrita a países como Estados Unidos, Rússia, China, França, Índia, Japão, Coreia do Norte, Israel e Irã. </w:t>
      </w:r>
    </w:p>
    <w:p w14:paraId="0BE1CA98" w14:textId="7025D20D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O agravamento da criminalidade transnacional atinge o Estado-nação em vários aspectos. A segurança nacional desestabiliza-se com atividades como o tráfico de drogas, de armas, a pirataria cibernética e a lavagem de dinheiro. A segurança pública fica comprometida, pois a violência atinge os cidadãos, mudando as suas rotinas. Para sua contenção, é necessária a cooperação diplomática, policial e judicial entre as diversas civilizações. Os Estados Unidos, Brasil, outros países da América do Sul, Inglaterra, Espanha e Canadá estão entre os países com maior criminalidade transnacional. </w:t>
      </w:r>
    </w:p>
    <w:p w14:paraId="05B71E5D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Conclusão parcial</w:t>
      </w:r>
    </w:p>
    <w:p w14:paraId="77054AF7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Conclui-se, parcialmente, que as principais respostas do Estado-Nação à ordem mundial vigente estão relacionadas ao espectro internacional em suas relações com outros Estados, levando a uma competição entre civilizações com culturas diferentes, em busca de seus objetivos. Nesse contexto, EUA e Rússia continuam com seus protagonismos e a China aparece como novo polo de poder capaz de gerar influência. </w:t>
      </w:r>
    </w:p>
    <w:p w14:paraId="396B6B6B" w14:textId="77777777" w:rsidR="00E45967" w:rsidRPr="00537EB9" w:rsidRDefault="00402B35" w:rsidP="00E45967">
      <w:pPr>
        <w:pStyle w:val="PargrafodaLista"/>
        <w:numPr>
          <w:ilvl w:val="0"/>
          <w:numId w:val="1"/>
        </w:numPr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Expressão econômica </w:t>
      </w:r>
    </w:p>
    <w:p w14:paraId="62BBAA42" w14:textId="77777777" w:rsidR="00E45967" w:rsidRPr="00537EB9" w:rsidRDefault="00402B35" w:rsidP="00E45967">
      <w:pPr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Com a ordem mundial vigente, praticamente todos os segmentos da economia dependem das Tecnologias da Informação e Comunicações (TIC), as quais revolucionaram a segunda metade do século XX e continuarão modificando a natureza do trabalho, a estrutura de produção, de educação e a relação entre as pessoas, nas mais diferentes culturas e civilizações. Como exemplo, as indústrias que, na primeira metade do século XX, eram intensivas em mão de obra, hoje investem cada vez mais em automação e robótica. Com o desenvolvimento dessas ferramentas e em função do rápido crescimento da China e da Índia, essas economias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>terão parcela significativa do produto interno bruto mundial em breve.</w:t>
      </w:r>
    </w:p>
    <w:p w14:paraId="1A87E498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O agravamento da desigualdade entre países ricos e pobres é afetado pela globalização, pois, dependendo do nível de desenvolvimento de cada civilização, a sensação de exclusão social atinge um patamar minorado ou majorado. A dificuldade de encontrar formas de inserção social na ordem atual é, entre outras causas, a maior responsável pela emergente necessidade de construção ou reconstrução do Estado, com base na efetivação da cidadania, na plenitude dos direitos humanos e no acesso ao desenvolvimento. Nesse contexto, percebe-se a necessidade da realização de ações coordenadas dos países ricos com os países pobres, por meio de um pacto global pelo direito ao desenvolvimento. </w:t>
      </w:r>
    </w:p>
    <w:p w14:paraId="3BD4190E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Com a globalização da economia, houve o engessamento nas políticas e nas aspirações do Estado-nação, em contraposição ao aumento dos movimentos das grandes corporações econômicas, através das empresas transnacionais. Após alguns anos da implantação dessa nova ordem global de liberação econômica, pode-se verificar que houve muitos avanços, como a modernização na área da tecnologia, nos meios de comunicação e informação, entre outros; mas, por outro lado, trouxe muitos prejuízos na área econômica. Esse fenômeno segrega civilizações que enveredam nesse caminho, como os Tigres Asiáticos, e aquelas que permaneceram estáticas no tempo, como alguns países africanos.</w:t>
      </w:r>
    </w:p>
    <w:p w14:paraId="6BCA2372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dependência de energia proveniente de combustíveis fósseis afeta uma grande quantidade de Estados no mundo, tendo em vista o monopólio dessa riqueza mineral esgotável por alguns países. A crise energética vivida pela Europa, por exemplo, aponta para o risco do descumprimento de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protocolos que as nações europeias são signatárias. A segurança energética dos Estados Unidos é proporcionada pelo controle do acesso às principais fontes estratégicas de petróleo e gás natural, localizadas no Oriente Médio e na Ásia Central. A Rússia detém as maiores reservas de gás natural do mundo, condicionando a dependência europeia, que consome a maioria do petróleo e do gás exportados. Não obstante, esse fornecimento tem sofrido oscilações em decorrência da Guerra da Ucrânia. </w:t>
      </w:r>
    </w:p>
    <w:p w14:paraId="68CAF2AB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O surgimento da China como potência econômica mudou a geopolítica mundial e as relações comerciais. Sua ascensão econômica, especialmente nas últimas três décadas, causou um desequilíbrio no poder global, com uma rapidez sem precedentes na história. Os ocidentais e, em particular, os norte-americanos foram apresentados a uma nova realidade: os Estados Unidos da América não estavam mais isolados na posição de potência hegemônica no concerto das nações. Os chineses tornaram-se um desafio capaz de ameaçar a liderança econômica dos norte-americanos e, com a manutenção do ritmo atual, sua liderança militar. </w:t>
      </w:r>
    </w:p>
    <w:p w14:paraId="5C918F03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Conclusão parcial </w:t>
      </w:r>
    </w:p>
    <w:p w14:paraId="7B746916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Infere-se, parcialmente, que, devido a ordem mundial vigente, houve um deslocamento do protagonismo estatal para o privado. Percebe-se o impacto que a economia da China e o desenvolvimento tecnológico da Índia trazem ao resto do mundo, gerando disparidades entre as civilizações com mais ou menos recursos. </w:t>
      </w:r>
    </w:p>
    <w:p w14:paraId="0DD9C6F5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CONCLUSÃO </w:t>
      </w:r>
    </w:p>
    <w:p w14:paraId="651F30C0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Atualmente, discute-se a ideia do enfraquecimento e, até mesmo, do desaparecimento do Estado-nação, com base na ideia de que o paradigma do Estado-nação soberano e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autárquico acabou com o fim da bipolaridade, com o capitalismo liberal e com a globalização econômica. Assim, é notório o grande desafio do Estado-nação de evitar entrar no processo de diminuição progressiva de sua esfera de atuação. </w:t>
      </w:r>
    </w:p>
    <w:p w14:paraId="5785499D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Em síntese, com a ordem mundial vigente, há um enxugamento do Estado-nação clássico, havendo mais espaço ao capital privado e implicando divergências que comprometem a harmonia das relações internacionais. Como novos polos de poder, surgem a China e a Índia, que integram a ordem multipolar atual, juntas aos EUA e à Rússia, confirmando a tese da Teoria Choque das Civilizações, visto que esses países competem para garantir o interesse de suas culturas e civilizações. </w:t>
      </w:r>
    </w:p>
    <w:p w14:paraId="0FB5197F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De acordo com a teoria do Choque das Civilizações, na expressão político-militar, as atuais pressões exercidas no Estado-nação podem gerar instabilidades em questões mais sutis, como no controle do clima, onde países mais desenvolvidos resistem mais aos protocolos em razão de seus interesses peculiares. Por outo lado, a busca por maior protagonismo pela Federação Russa, ao lançar-se sobre o território ucraniano, recrudesceu as tensões com a OTAN e com os países do ocidente, os quais se opuseram à invasão. Da mesma forma, as pretensões territoriais da China sobre a ilha de Taiwan, na busca de uma unificação, levaram ao acirramento das relações com os EUA, que apesar de não reconhecer Taiwan como país independente, mantêm relações políticas informais e laços de defesa com a ilha, sendo grandes fornecedores de meios de emprego militar. Observa-se, portanto, o desgaste entre distintas civilizações, seja entre a russa e a ocidental, seja entre a americana e a chinesa. </w:t>
      </w:r>
    </w:p>
    <w:p w14:paraId="5F45DCC5" w14:textId="77777777" w:rsidR="00E45967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O embate entre civilizações distintas também se evidencia na expressão econômica, na medida em que civilizações ricas e pobres necessitam acordar sobre distribuição de recursos com a finalidade de promover o desenvolvimento dos mais vulneráveis. Por outro lado, a globalização da economia induz discrepâncias entre civilizações à medida que os menos favorecidos sofrem maiores prejuízos. Ainda na expressão econômica, o conflito bélico entre a Rússia e a Ucrânia afetou de forma significativa o fornecimento de gás natural e petróleo à Europa, despertando uma crise energética no Velho Continente. </w:t>
      </w:r>
    </w:p>
    <w:p w14:paraId="5DB4C162" w14:textId="4D69F234" w:rsidR="00DB6746" w:rsidRPr="00537EB9" w:rsidRDefault="00402B35" w:rsidP="00E45967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Por fim, observa-se que a ordem mundial vigente enfraquece e reduz a influência do Estado-nação, todavia, </w:t>
      </w:r>
      <w:proofErr w:type="gramStart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o mesmo</w:t>
      </w:r>
      <w:proofErr w:type="gramEnd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 tenta se adequar à nova realidade, tentando fazer valer os seus interesses em razão do bem comum de sua população e mesmo sobre interesses externos. </w:t>
      </w:r>
    </w:p>
    <w:p w14:paraId="747DA55B" w14:textId="77777777" w:rsidR="00E45967" w:rsidRPr="00E45967" w:rsidRDefault="00E45967" w:rsidP="00E45967">
      <w:pPr>
        <w:ind w:firstLine="708"/>
        <w:jc w:val="both"/>
        <w:rPr>
          <w:rFonts w:ascii="Comic Sans MS" w:hAnsi="Comic Sans MS"/>
          <w:color w:val="4472C4" w:themeColor="accent1"/>
          <w:sz w:val="28"/>
          <w:szCs w:val="28"/>
        </w:rPr>
      </w:pPr>
    </w:p>
    <w:p w14:paraId="3A5F97AE" w14:textId="77777777" w:rsidR="00E45967" w:rsidRDefault="00DB6746" w:rsidP="00DB674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B6746">
        <w:rPr>
          <w:rFonts w:ascii="Arial" w:hAnsi="Arial" w:cs="Arial"/>
          <w:sz w:val="28"/>
          <w:szCs w:val="28"/>
        </w:rPr>
        <w:t xml:space="preserve">2 a QUESTÃO (Valor 4,0) </w:t>
      </w:r>
    </w:p>
    <w:p w14:paraId="15F29ACC" w14:textId="50498B37" w:rsidR="009D17FE" w:rsidRDefault="00DB6746" w:rsidP="00DB674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43320">
        <w:rPr>
          <w:rFonts w:ascii="Arial" w:hAnsi="Arial" w:cs="Arial"/>
          <w:sz w:val="28"/>
          <w:szCs w:val="28"/>
          <w:highlight w:val="yellow"/>
        </w:rPr>
        <w:t>Apresentar</w:t>
      </w:r>
      <w:r w:rsidRPr="00DB6746">
        <w:rPr>
          <w:rFonts w:ascii="Arial" w:hAnsi="Arial" w:cs="Arial"/>
          <w:sz w:val="28"/>
          <w:szCs w:val="28"/>
        </w:rPr>
        <w:t xml:space="preserve"> </w:t>
      </w:r>
      <w:r w:rsidRPr="008E5112">
        <w:rPr>
          <w:rFonts w:ascii="Arial" w:hAnsi="Arial" w:cs="Arial"/>
          <w:sz w:val="28"/>
          <w:szCs w:val="28"/>
          <w:highlight w:val="green"/>
        </w:rPr>
        <w:t>os aspectos mais relevantes da restruturação produtiva do setor primário da economia brasileira</w:t>
      </w:r>
      <w:r w:rsidRPr="00DB6746">
        <w:rPr>
          <w:rFonts w:ascii="Arial" w:hAnsi="Arial" w:cs="Arial"/>
          <w:sz w:val="28"/>
          <w:szCs w:val="28"/>
        </w:rPr>
        <w:t xml:space="preserve"> </w:t>
      </w:r>
      <w:r w:rsidRPr="008E5112">
        <w:rPr>
          <w:rFonts w:ascii="Arial" w:hAnsi="Arial" w:cs="Arial"/>
          <w:sz w:val="28"/>
          <w:szCs w:val="28"/>
          <w:highlight w:val="lightGray"/>
        </w:rPr>
        <w:t>na atualidade</w:t>
      </w:r>
      <w:r w:rsidRPr="00DB6746">
        <w:rPr>
          <w:rFonts w:ascii="Arial" w:hAnsi="Arial" w:cs="Arial"/>
          <w:sz w:val="28"/>
          <w:szCs w:val="28"/>
        </w:rPr>
        <w:t xml:space="preserve">, </w:t>
      </w:r>
      <w:r w:rsidRPr="008E5112">
        <w:rPr>
          <w:rFonts w:ascii="Arial" w:hAnsi="Arial" w:cs="Arial"/>
          <w:sz w:val="28"/>
          <w:szCs w:val="28"/>
          <w:highlight w:val="magenta"/>
        </w:rPr>
        <w:t>destacando</w:t>
      </w:r>
      <w:r w:rsidRPr="00DB6746">
        <w:rPr>
          <w:rFonts w:ascii="Arial" w:hAnsi="Arial" w:cs="Arial"/>
          <w:sz w:val="28"/>
          <w:szCs w:val="28"/>
        </w:rPr>
        <w:t xml:space="preserve"> </w:t>
      </w:r>
      <w:r w:rsidRPr="008E5112">
        <w:rPr>
          <w:rFonts w:ascii="Arial" w:hAnsi="Arial" w:cs="Arial"/>
          <w:sz w:val="28"/>
          <w:szCs w:val="28"/>
          <w:highlight w:val="cyan"/>
        </w:rPr>
        <w:t>a participação da matriz de transportes nacional nesse contexto</w:t>
      </w:r>
      <w:r w:rsidRPr="00DB6746">
        <w:rPr>
          <w:rFonts w:ascii="Arial" w:hAnsi="Arial" w:cs="Arial"/>
          <w:sz w:val="28"/>
          <w:szCs w:val="28"/>
        </w:rPr>
        <w:t>.</w:t>
      </w:r>
    </w:p>
    <w:p w14:paraId="6105736F" w14:textId="77777777" w:rsidR="00537EB9" w:rsidRDefault="00537EB9" w:rsidP="00537EB9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402B35">
        <w:rPr>
          <w:color w:val="FF0000"/>
          <w:sz w:val="28"/>
          <w:szCs w:val="28"/>
        </w:rPr>
        <w:t>[UMA SOLUÇÃO]</w:t>
      </w:r>
    </w:p>
    <w:p w14:paraId="306E9EEA" w14:textId="77777777" w:rsidR="00537EB9" w:rsidRDefault="00537EB9" w:rsidP="00DB6746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CEEC309" w14:textId="4A239758" w:rsidR="00537EB9" w:rsidRPr="00537EB9" w:rsidRDefault="00537EB9" w:rsidP="00DB6746">
      <w:pPr>
        <w:ind w:firstLine="708"/>
        <w:jc w:val="both"/>
        <w:rPr>
          <w:rFonts w:ascii="Lucida Handwriting" w:hAnsi="Lucida Handwriting" w:cs="Arial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 w:cs="Arial"/>
          <w:color w:val="4472C4" w:themeColor="accent1"/>
          <w:sz w:val="28"/>
          <w:szCs w:val="28"/>
        </w:rPr>
        <w:t>Introdução</w:t>
      </w:r>
    </w:p>
    <w:p w14:paraId="02B8640C" w14:textId="77777777" w:rsidR="00537EB9" w:rsidRDefault="00AE066E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reestruturação produtiva do setor primário tem como um dos seus motivadores a globalização da economia, que induz o processo de renovação das práticas de gestão e de organização do trabalho por outras mais modernas e flexíveis. Essa renovação não modifica a essência da produção, mas lhe traz novos contornos. </w:t>
      </w:r>
    </w:p>
    <w:p w14:paraId="61B8323B" w14:textId="77777777" w:rsidR="00537EB9" w:rsidRDefault="00AE066E" w:rsidP="00DB6746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O Brasil, maior país da América do Sul, possui mais de oito milhões e quinhentos mil quilômetros quadrados, com relevo caraterizado por baixas e médias altitudes, divididas em planaltos e depressões. De forma geral, há três tipos de clima: equatorial, tropical e temperado. Esse conjunto geográfico aliado à pouca incidência de abalos sísmicos e tempestades devastadoras favorecem as atividades dos diversos setores da economia, em especial o primário. </w:t>
      </w:r>
    </w:p>
    <w:p w14:paraId="67E850A0" w14:textId="77777777" w:rsidR="00537EB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O setor primário é o responsável pela extração de recursos provenientes da natureza. É o setor que explora o meio ambiente para produzir itens para o consumo ou que serão vendidos. A extração de minerais, a agricultura, os extrativismos vegetal e animal, a pesca e a pecuária são as atividades de destaque desse setor. </w:t>
      </w:r>
    </w:p>
    <w:p w14:paraId="758AE5B1" w14:textId="77777777" w:rsidR="00537EB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matriz de transportes tem um papel estratégico na economia brasileira, com a integração das cadeias de produção e de distribuição de bens, em especial no escoamento da produção agrícola e mineral para o mercado externo e na movimentação de mercadorias para consumo intermediário e final das empresas e das famílias. </w:t>
      </w:r>
    </w:p>
    <w:p w14:paraId="09F1168C" w14:textId="77777777" w:rsidR="00537EB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seguir, serão apresentados os aspectos mais relevantes da reestruturação produtiva do setor primário da economia brasileira na atualidade, destacando a participação da matriz de transportes nacional nesse contexto. C6 Outras ideias julgadas pertinentes. </w:t>
      </w:r>
    </w:p>
    <w:p w14:paraId="6A5CAF60" w14:textId="77777777" w:rsidR="00537EB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DESENVOLVIMENTO </w:t>
      </w:r>
    </w:p>
    <w:p w14:paraId="03B7958C" w14:textId="34F0C898" w:rsidR="00537EB9" w:rsidRPr="00537EB9" w:rsidRDefault="00AE066E" w:rsidP="00537EB9">
      <w:pPr>
        <w:pStyle w:val="PargrafodaLista"/>
        <w:numPr>
          <w:ilvl w:val="0"/>
          <w:numId w:val="2"/>
        </w:numPr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Modernização da agricultura </w:t>
      </w:r>
    </w:p>
    <w:p w14:paraId="75BE0EA6" w14:textId="77777777" w:rsidR="00537EB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O processo de modernização da agricultura brasileira acompanhou o desenvolvimento econômico do país. Entre as décadas de 1950 e 1970, a ampliação da base produtiva foi alcançada ao custo de um endividamento externo. Assim, a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construção de infraestrutura de transporte e de geração de energia necessárias à atividade do setor primário realizou-se a partir de empréstimos contraídos pelo Estado brasileiro junto a bancos e empresas internacionais. Atualmente, a agricultura participa com relevância da produção nacional. De acordo com o censo agropecuário do Instituto Brasileiro de Geografia e Estatística (IBGE), entre os principais produtos da pauta nacional, as maiores produções são de soja, milho, cana-de-açúcar e café. </w:t>
      </w:r>
    </w:p>
    <w:p w14:paraId="3CA33E4C" w14:textId="77777777" w:rsidR="00537EB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b. Modernização da pecuária A adoção de tecnologias na pecuária brasileira modernizou o setor, com aumento sustentável da produção e da produtividade. Nos últimos 40 anos, a produção de carne de frango aumentou 22 vezes; e a de carne suína, de leite e de carne bovina, 4 vezes. Pesquisas em genética, avanços no controle de pragas e doenças e melhorias nas pastagens elevaram a produção média no rebanho bovino de corte. Atualmente, o Brasil é o segundo maior produtor e o maior exportador de carne bovina no mundo. A produção bovina do Mato Grosso viaja mais de dois mil quilômetros até o Porto de Santos. A BR 163 corta os estados de Mato Grosso e Mato Grosso do Sul até Campo Grande e, a partir daí, a produção chega em São Paulo pelas rodovias estaduais. </w:t>
      </w:r>
    </w:p>
    <w:p w14:paraId="4C8E77DC" w14:textId="77777777" w:rsidR="005F4B5D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c. Modernização dos estabelecimentos agrícolas O Brasil possui mais de cinco milhões de estabelecimentos agrícolas, os quais desenvolvem atividades do setor primário em uma área de mais de trezentos e cinquenta milhões de hectares, distribuídos por todo território nacional. Na maioria dos estados, os estabelecimentos utilizam o trator como ferramenta de trabalho, com exceção do Mato Grosso, que utiliza essa ferramenta em menor proporção, em razão do maior número de semeadeiras, plantadeiras e colheitadeiras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disponíveis para a agricultura. O grande desafio ao aumento da exportação é o escoamento da safra. Dessa forma, o projeto de recuperação e adaptação da malha ferroviária contribui na vazão da produção dos estabelecimentos agrícolas. Um dos destaques é a concessão de trechos da Ferrovia </w:t>
      </w:r>
      <w:proofErr w:type="spellStart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Ferrogrão</w:t>
      </w:r>
      <w:proofErr w:type="spellEnd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, ligando a produção do norte do Mato Grosso ao porto do </w:t>
      </w:r>
      <w:proofErr w:type="spellStart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Miritituba</w:t>
      </w:r>
      <w:proofErr w:type="spellEnd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, no Pará, reduzindo os custos e dando mais competitividade aos portos do Arco Norte.</w:t>
      </w:r>
    </w:p>
    <w:p w14:paraId="5BB37931" w14:textId="77777777" w:rsidR="005F4B5D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d. Características da força de trabalho </w:t>
      </w:r>
    </w:p>
    <w:p w14:paraId="413CF97B" w14:textId="77777777" w:rsidR="005F4B5D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produção do setor primário no Brasil absorve parcela considerável da população brasileira. Estima-se que mais de quinze milhões de pessoas trabalham diretamente na atividade. Quase um milhão de pessoas estão ligadas à atividade no Pará e quase quinhentas mil pessoas no Mato Grosso, por exemplo. A grande maioria possui algum grau de parentesco com o produtor. Todavia, o Mato Grosso atrai mais pessoas de outros estados, sem vínculo com o dono da produção. Em torno de trinta por cento da força de trabalho possui grau de escolaridade até a alfabetização. A falta de recursos do pequeno produtor é um grande desafio a ser superado, pois a mecanização nas lavouras, com a aquisição, o uso compartilhado e o aluguel de máquinas e equipamentos, fortalece a produção. </w:t>
      </w:r>
    </w:p>
    <w:p w14:paraId="1F7D9CDC" w14:textId="77777777" w:rsidR="005F4B5D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e. Adubação do solo e combate às pragas </w:t>
      </w:r>
    </w:p>
    <w:p w14:paraId="49D5A9BD" w14:textId="77777777" w:rsidR="00FF59D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maior parte dos estabelecimentos agropecuários no Brasil não faz uso maciço de defensivos agrícolas e da adubação química no combate às pragas e na preparação dos solos, conforme censo do IBGE. Essas práticas poluem afluentes e mananciais subterrâneos, além de prejudicar a fauna e a flora fluviais e comprometer as reservas de água doce. Ademais, o descarte inadequado de dejetos animais de grandes rebanhos ajuda a agravar o problema. A postura do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Brasil em relação a essa prática tem um grande efeito favorável na balança comercial, pois garante a confiança do comprador internacional no mercado brasileiro. Evitar essas práticas indesejáveis é um grande desafio para aumentar a competitividade e ganhar credibilidade no mercado internacional. </w:t>
      </w:r>
    </w:p>
    <w:p w14:paraId="3CAA96B7" w14:textId="77777777" w:rsidR="00FF59D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f. A mineração no setor primário A mineração de ferro e a siderurgia são os grandes destaques da economia mineral brasileira, tanto pela ótica do Produto Interno Bruto (PIB), quanto pela força de arrasto produtivo. Nos últimos anos, a mineração de ferro aumentou de importância, enquanto a siderurgia reduziu. A cadeia produtiva da economia mineral incide sobre a manufatura e a construção civil e abrange desde a extração de minerais até o processamento, distribuição e utilização dos </w:t>
      </w:r>
      <w:proofErr w:type="gramStart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>produtos finais</w:t>
      </w:r>
      <w:proofErr w:type="gramEnd"/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. Nesse sentido, a Estrada de Ferro Carajás, com 892 km de extensão, operada pela mineradora Vale, passa pelos estados do Maranhão e do Pará. É especializada no transporte de cargas minerais, extraídas das minas da Serra dos Carajás, e levados até os portos da Baía de São Marcos, no Maranhão, para exportação. </w:t>
      </w:r>
    </w:p>
    <w:p w14:paraId="71BAB937" w14:textId="77777777" w:rsidR="00FF59D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g. A mecanização do setor primário </w:t>
      </w:r>
    </w:p>
    <w:p w14:paraId="0EBF2217" w14:textId="77777777" w:rsidR="00FF59D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A Revolução Verde, da década de 1960, provocou um processo de modernização da agropecuária. Diversas atividades, antes calcadas na utilização de mão de obra e força motriz animal, passaram a ser realizadas por máquinas que hodiernamente chegam às raias da automação. Exemplo emblemático dessa radical mudança ocorreu na colheita da cana-de-açúcar, que era realizada por um expressivo contingente de “boias-frias”, e hoje é praticada por colheitadeiras inteligentes de altíssima produtividade e dotadas de georreferenciamento. A </w:t>
      </w:r>
      <w:r w:rsidRPr="00537EB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mecanização alterou o perfil da mão de obra rural, que passou a necessitar de especialização para garantir sua empregabilidade. </w:t>
      </w:r>
    </w:p>
    <w:p w14:paraId="66CA5C7C" w14:textId="77777777" w:rsidR="00FF59D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h. O êxodo rural no Brasil </w:t>
      </w:r>
    </w:p>
    <w:p w14:paraId="177776F0" w14:textId="77777777" w:rsidR="00FF59D9" w:rsidRDefault="00AE066E" w:rsidP="00537EB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537EB9">
        <w:rPr>
          <w:rFonts w:ascii="Lucida Handwriting" w:hAnsi="Lucida Handwriting"/>
          <w:color w:val="4472C4" w:themeColor="accent1"/>
          <w:sz w:val="28"/>
          <w:szCs w:val="28"/>
        </w:rPr>
        <w:t xml:space="preserve">Historicamente, o Centro Sul, principalmente os estados do Sudeste, sempre foi um polo de atração de diversas correntes migratórias provenientes, principalmente, do Nordeste. Atualmente, esse quadro vem sendo mudado com e expansão da fronteira agrícola para a Amazônia, fator que é um atrativo para populações de diversas outras regiões. Destaca-se o transporte hidroviário caracterizado por utilizar os rios navegáveis da região para o deslocamento de pessoas e de mercadorias. As migrações internas rural-urbanas, ocorridas de forma massiva no sentido Nordeste – Sudeste, parecem apresentar visível esgotamento. Com os centros urbanos e suas regiões metropolitanas completamente saturados e repletos de problemas sociais, não há mais um grande atrativo para a recepção de novos migrantes. </w:t>
      </w:r>
    </w:p>
    <w:p w14:paraId="5F8C2153" w14:textId="1DE7450C" w:rsidR="00FF59D9" w:rsidRPr="00FF59D9" w:rsidRDefault="00AE066E" w:rsidP="00FF59D9">
      <w:pPr>
        <w:pStyle w:val="PargrafodaLista"/>
        <w:numPr>
          <w:ilvl w:val="0"/>
          <w:numId w:val="3"/>
        </w:numPr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A tecnologia aplicada no setor primário </w:t>
      </w:r>
    </w:p>
    <w:p w14:paraId="06041F54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Tanto a produção agrícola quanto a atividade pecuarista a nível comercial são praticadas com técnicas e equipamentos avançados, o que lhes têm garantido elevada produtividade. Pesquisas nas áreas de genética, química, meteorologia e engenharia ambiental têm garantido o melhoramento genético dos rebanhos. Outras técnicas são o desenvolvimento de organismos geneticamente modificados, defensivos agrícolas e adubos químicos mais potentes e sustentáveis, além de técnicas de controle das chuvas e de irrigação mais eficientes. A Empresa Brasileira de Pesquisa Agropecuária (EMBRAPA) e a Empresa de Assistência Técnica e Extensão Rural dos Estados têm sido fundamentais na </w:t>
      </w:r>
      <w:r w:rsidRPr="00FF59D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pesquisa e no assessoramento agronômico aos grandes e pequenos produtores rurais. </w:t>
      </w:r>
    </w:p>
    <w:p w14:paraId="1B65C648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j. A estrutura fundiária </w:t>
      </w:r>
    </w:p>
    <w:p w14:paraId="3FCCBD2C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O latifúndio por dimensão e de caráter monocultor é uma herança histórica nordestina do ciclo da cana-de-açúcar que ainda persiste: no Agreste, na monocultura de fumo, soja e na própria cana; e no Sertão e na Zona da Mata, com a pecuária bovina e algodão. No Centro-Sul, há a incidência tanto de grandes quanto médias propriedades classificadas como empresas rurais no prisma fundiário. Destaca-se que a Região Centro-Sul é a mais desenvolvida no que diz respeito a malha ferroviária e rodoviária, o que facilita o escoamento da produção e o deslocamento de pessoas. Há incidência de pequenas propriedades familiares tanto no Nordeste como no Centro-Sul. </w:t>
      </w:r>
    </w:p>
    <w:p w14:paraId="13100793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k. A legislação fundiária </w:t>
      </w:r>
    </w:p>
    <w:p w14:paraId="69C0F3EF" w14:textId="4946C2D0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A começar pela Carta Magna, a legislação fundiária no Brasil privilegia a formação de pequenas e médias propriedades rurais e a distribuição da terra para pequenos produtores agropecuários. A Lei da Regularização Fundiária (de 2017) e outras normas sobre o tema dispõem sobre os pormenores da questão e têm auxiliado na redução da quantidade de latifúndios no país e favorecido à produtividade no setor, além do acesso à terra pelo pequeno produtor. O Instituto Nacional de Colonização e Reforma Agrária (INCRA) e a EMBRAPA trabalham tanto no processo de distribuição de terras quanto no assentamento e viabilização produtiva das propriedades rurais distribuídas, inclusive, com a prestação de assessoramentos agronômicos. </w:t>
      </w:r>
    </w:p>
    <w:p w14:paraId="3AAC88D8" w14:textId="080A9F43" w:rsidR="00FF59D9" w:rsidRDefault="00FF59D9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</w:p>
    <w:p w14:paraId="1A8C8A2F" w14:textId="77777777" w:rsidR="00FF59D9" w:rsidRDefault="00FF59D9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</w:p>
    <w:p w14:paraId="00E416AE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l. Incentivos fiscais e benefícios sociais </w:t>
      </w:r>
    </w:p>
    <w:p w14:paraId="6C32A9DA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Benefícios a produtores rurais, transparência nas normas sobre defesa agropecuária, empréstimos menos onerosos aos pequenos produtores e incentivos para a produção com preservação ambiental na Amazônia foram alguns dos principais temas regulamentados pelo Poder Legislativo recentemente. Entre os principais subsídios, destaca-se a recente isenção do Imposto sobre Produtos Industrializados, os insumos e equipamentos destinados à produção de leite e derivados, objetivando estimular a modernização da pecuária leiteira. Outras iniciativas legislativas visaram à adoção da Política Nacional de Incentivo à Produção de Café de Qualidade e à Política Nacional de Incentivo à </w:t>
      </w:r>
      <w:proofErr w:type="spellStart"/>
      <w:r w:rsidRPr="00FF59D9">
        <w:rPr>
          <w:rFonts w:ascii="Lucida Handwriting" w:hAnsi="Lucida Handwriting"/>
          <w:color w:val="4472C4" w:themeColor="accent1"/>
          <w:sz w:val="28"/>
          <w:szCs w:val="28"/>
        </w:rPr>
        <w:t>Ovinocaprinocultura</w:t>
      </w:r>
      <w:proofErr w:type="spellEnd"/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. Vale mencionar, também, o programa Luz Para Todos, do Governo Federal, que viabiliza o fornecimento de energia elétrica para o homem do campo. </w:t>
      </w:r>
    </w:p>
    <w:p w14:paraId="30BE2C1D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m. Regulação do uso de defensivos agrícolas </w:t>
      </w:r>
    </w:p>
    <w:p w14:paraId="132193A5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De acordo com a Organização das Nações Unidas para a Alimentação e a Agricultura (FAO), a perda da produção nacional poderia ser de 20% a 40% sem a utilização de defensivos agrícolas. A Lei Ordinária 14785/2023 é o principal dispositivo normativo a respeito do tema em pauta. É altamente restritivo ao uso dos defensivos a ponto de serem necessários até oito anos para a aprovação de novos defensivos agrícolas, enquanto novos produtos agroquímicos, em alguns países concorrentes do setor agropecuário, têm um trâmite de 18 a 24 meses para serem homologados. </w:t>
      </w:r>
    </w:p>
    <w:p w14:paraId="0305F031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n. A questão ambiental no Brasil </w:t>
      </w:r>
    </w:p>
    <w:p w14:paraId="70BBC7F8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>Com o advento da temática ecológica no mundo, o Brasil tornou-se palco de diversos fóruns, organizações não-</w:t>
      </w:r>
      <w:r w:rsidRPr="00FF59D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governamentais e associações que abraçaram a causa da proteção da natureza. Assim, essas organizações passaram a se contrapor às práticas consagradas na agropecuária de mercado, adotando os temas da proibição do uso de pesticidas, da adubação química e da utilização sistemática dos recursos hídricos pelo setor agropecuário comercial. A atuação das casas legislativas resultou em normas de fiscalização mais rígidas, o que pode limitar o aproveitamento econômico do potencial agrícola brasileiro, por intermédio da vedação das práticas produtivas que se mostrassem dissonantes dos preceitos da sustentabilidade. </w:t>
      </w:r>
    </w:p>
    <w:p w14:paraId="0BB9E404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o. Recursos naturais diversos </w:t>
      </w:r>
    </w:p>
    <w:p w14:paraId="55AF5A72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A grande extensão de áreas agricultáveis, a profusão de recursos hídricos, o relevo sem grandes movimentos orográficos e a diversidade de climas com grande nível de insolação são fatores que têm concorrido para o elevado potencial de desenvolvimento do setor primário. As diferenças regionais e climáticas vêm possibilitando uma grande diversidade de culturas agrícolas e de espécies de rebanho. Como exemplo, o potencial de expansão da agricultura, especialmente na região do cerrado, corresponde a 90 milhões de hectares. </w:t>
      </w:r>
    </w:p>
    <w:p w14:paraId="49DD7D48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p. O mercado interno </w:t>
      </w:r>
    </w:p>
    <w:p w14:paraId="7E0BD1E4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O crescimento dos mercados urbanos favoreceu o cultivo de novos produtos e a ampliação das áreas destinadas à produção agrícola para o mercado interno. O aumento populacional brasileiro, bem como a melhoria do padrão de vida e o consequente acesso a produtos, antes considerados supérfluos na mesa do brasileiro, tornaram o mercado interno uma opção atrativa para o produtor agrícola comercial. Os itens da dieta básica brasileira (feijão, arroz, frango e carne bovina) são destaques. A produção de arroz é </w:t>
      </w:r>
      <w:r w:rsidRPr="00FF59D9">
        <w:rPr>
          <w:rFonts w:ascii="Lucida Handwriting" w:hAnsi="Lucida Handwriting"/>
          <w:color w:val="4472C4" w:themeColor="accent1"/>
          <w:sz w:val="28"/>
          <w:szCs w:val="28"/>
        </w:rPr>
        <w:lastRenderedPageBreak/>
        <w:t xml:space="preserve">concentrada no sul do país. A produção do feijão é mais equilibrada no território nacional. São igualmente impactantes no mercado nacional o milho, a carne suína, o leite e o trigo. </w:t>
      </w:r>
    </w:p>
    <w:p w14:paraId="188EBA75" w14:textId="77777777" w:rsidR="00FF59D9" w:rsidRDefault="00AE066E" w:rsidP="00FF59D9">
      <w:pPr>
        <w:ind w:firstLine="708"/>
        <w:jc w:val="both"/>
        <w:rPr>
          <w:rFonts w:ascii="Lucida Handwriting" w:hAnsi="Lucida Handwriting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q. A sustentabilidade no setor primário </w:t>
      </w:r>
    </w:p>
    <w:p w14:paraId="11497D7F" w14:textId="3693C66A" w:rsidR="00AE066E" w:rsidRPr="00FF59D9" w:rsidRDefault="00AE066E" w:rsidP="00FF59D9">
      <w:pPr>
        <w:ind w:firstLine="708"/>
        <w:jc w:val="both"/>
        <w:rPr>
          <w:rFonts w:ascii="Lucida Handwriting" w:hAnsi="Lucida Handwriting" w:cs="Arial"/>
          <w:color w:val="4472C4" w:themeColor="accent1"/>
          <w:sz w:val="28"/>
          <w:szCs w:val="28"/>
        </w:rPr>
      </w:pPr>
      <w:r w:rsidRPr="00FF59D9">
        <w:rPr>
          <w:rFonts w:ascii="Lucida Handwriting" w:hAnsi="Lucida Handwriting"/>
          <w:color w:val="4472C4" w:themeColor="accent1"/>
          <w:sz w:val="28"/>
          <w:szCs w:val="28"/>
        </w:rPr>
        <w:t xml:space="preserve">A redução na disponibilidade dos recursos naturais aumenta os custos e afeta a competitividade. Por outro lado, os consumidores estão cada vez mais preocupados com os impactos ambientais e sociais dos produtos e seus processos produtivos. Assim, almeja-se que o setor primário brasileiro busque adotar os princípios da sustentabilidade, ética, transparência e respeito à sociedade e ao meio ambiente, com investimentos em projetos ambientais que gerem ganhos econômicos e sociais, além de contribuir para a consolidação de uma economia de baixo carbono. Nesse contexto, torna-se essencial o papel do Estado no alinhamento nacional das políticas ambientais com as políticas tributárias, de infraestrutura e de inovação. Essa é uma condição essencial para a inserção da produção brasileira na economia mundial. </w:t>
      </w:r>
    </w:p>
    <w:sectPr w:rsidR="00AE066E" w:rsidRPr="00FF59D9" w:rsidSect="00537E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C4C1B"/>
    <w:multiLevelType w:val="hybridMultilevel"/>
    <w:tmpl w:val="EA5EC2F6"/>
    <w:lvl w:ilvl="0" w:tplc="2EEC8D30">
      <w:start w:val="1"/>
      <w:numFmt w:val="lowerLetter"/>
      <w:lvlText w:val="%1."/>
      <w:lvlJc w:val="left"/>
      <w:pPr>
        <w:ind w:left="1119" w:hanging="4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4F4A2F"/>
    <w:multiLevelType w:val="hybridMultilevel"/>
    <w:tmpl w:val="7472AE84"/>
    <w:lvl w:ilvl="0" w:tplc="91B695E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C49D1"/>
    <w:multiLevelType w:val="hybridMultilevel"/>
    <w:tmpl w:val="6D5A7370"/>
    <w:lvl w:ilvl="0" w:tplc="44085FE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46"/>
    <w:rsid w:val="00402B35"/>
    <w:rsid w:val="00537EB9"/>
    <w:rsid w:val="00543320"/>
    <w:rsid w:val="005F4B5D"/>
    <w:rsid w:val="008E5112"/>
    <w:rsid w:val="009D17FE"/>
    <w:rsid w:val="00AE066E"/>
    <w:rsid w:val="00DB6746"/>
    <w:rsid w:val="00E45967"/>
    <w:rsid w:val="00F818B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A03"/>
  <w15:chartTrackingRefBased/>
  <w15:docId w15:val="{B1E4C292-9D99-476E-AC57-C99BE99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2B3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0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09E7-DDB2-409A-8B73-7B7D7D7E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4245</Words>
  <Characters>22925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Carneiro de Paula</dc:creator>
  <cp:keywords/>
  <dc:description/>
  <cp:lastModifiedBy>Luiz Carlos Carneiro de Paula</cp:lastModifiedBy>
  <cp:revision>5</cp:revision>
  <dcterms:created xsi:type="dcterms:W3CDTF">2024-03-12T14:54:00Z</dcterms:created>
  <dcterms:modified xsi:type="dcterms:W3CDTF">2024-03-12T20:49:00Z</dcterms:modified>
</cp:coreProperties>
</file>